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right" w:tblpY="225"/>
        <w:tblW w:w="6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</w:tblGrid>
      <w:tr w:rsidR="0032645F" w:rsidRPr="0032645F" w:rsidTr="0032645F">
        <w:trPr>
          <w:trHeight w:val="985"/>
        </w:trPr>
        <w:tc>
          <w:tcPr>
            <w:tcW w:w="6044" w:type="dxa"/>
          </w:tcPr>
          <w:p w:rsidR="0032645F" w:rsidRPr="0032645F" w:rsidRDefault="0032645F" w:rsidP="0032645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70C0"/>
                <w:sz w:val="14"/>
                <w:szCs w:val="16"/>
              </w:rPr>
            </w:pP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>Адрес:</w:t>
            </w: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 xml:space="preserve"> г. Москва, </w:t>
            </w:r>
            <w:r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>ул. Карьер</w:t>
            </w: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 xml:space="preserve"> 2</w:t>
            </w:r>
            <w:r>
              <w:rPr>
                <w:rFonts w:ascii="Tahoma" w:hAnsi="Tahoma" w:cs="Tahoma"/>
                <w:bCs/>
                <w:color w:val="0070C0"/>
                <w:sz w:val="14"/>
                <w:szCs w:val="16"/>
                <w:lang w:val="en-US"/>
              </w:rPr>
              <w:t>,</w:t>
            </w: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 xml:space="preserve"> стр.1</w:t>
            </w:r>
          </w:p>
          <w:p w:rsidR="0032645F" w:rsidRPr="0032645F" w:rsidRDefault="0032645F" w:rsidP="0032645F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color w:val="0070C0"/>
                <w:sz w:val="14"/>
                <w:szCs w:val="16"/>
              </w:rPr>
            </w:pP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>Телефон: +7 (495) 268-01-76</w:t>
            </w:r>
          </w:p>
          <w:p w:rsidR="0032645F" w:rsidRPr="0032645F" w:rsidRDefault="0032645F" w:rsidP="0032645F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70C0"/>
                <w:sz w:val="16"/>
                <w:szCs w:val="16"/>
              </w:rPr>
            </w:pP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>E-mail: info</w:t>
            </w:r>
            <w:r w:rsidRPr="0032645F">
              <w:rPr>
                <w:rFonts w:ascii="Tahoma" w:hAnsi="Tahoma" w:cs="Tahoma"/>
                <w:bCs/>
                <w:color w:val="0070C0"/>
                <w:sz w:val="14"/>
                <w:szCs w:val="16"/>
              </w:rPr>
              <w:t>@mbiolog.ru</w:t>
            </w:r>
          </w:p>
        </w:tc>
      </w:tr>
    </w:tbl>
    <w:p w:rsidR="007F21DF" w:rsidRDefault="007F21DF" w:rsidP="005F526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70C0"/>
          <w:sz w:val="32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81361" cy="504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6" t="31921" r="12784" b="33593"/>
                    <a:stretch/>
                  </pic:blipFill>
                  <pic:spPr bwMode="auto">
                    <a:xfrm>
                      <a:off x="0" y="0"/>
                      <a:ext cx="1681361" cy="50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21DF" w:rsidRDefault="007F21DF" w:rsidP="007F21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70C0"/>
          <w:sz w:val="32"/>
          <w:szCs w:val="28"/>
        </w:rPr>
      </w:pPr>
    </w:p>
    <w:p w:rsidR="0032645F" w:rsidRDefault="0032645F" w:rsidP="007F21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70C0"/>
          <w:sz w:val="32"/>
          <w:szCs w:val="28"/>
        </w:rPr>
      </w:pPr>
    </w:p>
    <w:p w:rsidR="0032645F" w:rsidRPr="0032645F" w:rsidRDefault="0032645F" w:rsidP="007F21D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70C0"/>
          <w:sz w:val="36"/>
          <w:szCs w:val="28"/>
        </w:rPr>
      </w:pPr>
      <w:bookmarkStart w:id="0" w:name="_GoBack"/>
      <w:bookmarkEnd w:id="0"/>
    </w:p>
    <w:p w:rsidR="005F526A" w:rsidRPr="007F21DF" w:rsidRDefault="005F526A" w:rsidP="005F526A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2F5496" w:themeColor="accent5" w:themeShade="BF"/>
          <w:sz w:val="32"/>
          <w:szCs w:val="28"/>
        </w:rPr>
      </w:pPr>
      <w:r w:rsidRPr="007F21DF">
        <w:rPr>
          <w:rFonts w:ascii="Tahoma" w:hAnsi="Tahoma" w:cs="Tahoma"/>
          <w:b/>
          <w:bCs/>
          <w:color w:val="2F5496" w:themeColor="accent5" w:themeShade="BF"/>
          <w:sz w:val="32"/>
          <w:szCs w:val="28"/>
        </w:rPr>
        <w:t>Методика расчета стоимости работ</w:t>
      </w:r>
    </w:p>
    <w:p w:rsidR="00687BB2" w:rsidRPr="007F21DF" w:rsidRDefault="005F526A" w:rsidP="005F526A">
      <w:pPr>
        <w:jc w:val="center"/>
        <w:rPr>
          <w:rFonts w:ascii="Tahoma" w:hAnsi="Tahoma" w:cs="Tahoma"/>
          <w:b/>
          <w:bCs/>
          <w:color w:val="2F5496" w:themeColor="accent5" w:themeShade="BF"/>
          <w:sz w:val="32"/>
          <w:szCs w:val="28"/>
        </w:rPr>
      </w:pPr>
      <w:r w:rsidRPr="007F21DF">
        <w:rPr>
          <w:rFonts w:ascii="Tahoma" w:hAnsi="Tahoma" w:cs="Tahoma"/>
          <w:b/>
          <w:bCs/>
          <w:color w:val="2F5496" w:themeColor="accent5" w:themeShade="BF"/>
          <w:sz w:val="32"/>
          <w:szCs w:val="28"/>
        </w:rPr>
        <w:t>применительно к деятельности органа инспекции</w:t>
      </w:r>
    </w:p>
    <w:p w:rsidR="007F21DF" w:rsidRDefault="007F21DF" w:rsidP="004A354C">
      <w:pPr>
        <w:rPr>
          <w:rFonts w:ascii="Tahoma" w:hAnsi="Tahoma" w:cs="Tahoma"/>
          <w:b/>
          <w:bCs/>
          <w:sz w:val="4"/>
          <w:szCs w:val="28"/>
        </w:rPr>
      </w:pPr>
    </w:p>
    <w:p w:rsidR="0032645F" w:rsidRPr="0032645F" w:rsidRDefault="0032645F" w:rsidP="004A354C">
      <w:pPr>
        <w:rPr>
          <w:rFonts w:ascii="Tahoma" w:hAnsi="Tahoma" w:cs="Tahoma"/>
          <w:b/>
          <w:bCs/>
          <w:sz w:val="4"/>
          <w:szCs w:val="28"/>
        </w:rPr>
      </w:pPr>
    </w:p>
    <w:p w:rsidR="005F526A" w:rsidRPr="004A354C" w:rsidRDefault="005F526A" w:rsidP="005F526A">
      <w:pPr>
        <w:jc w:val="both"/>
        <w:rPr>
          <w:rFonts w:ascii="Tahoma" w:hAnsi="Tahoma" w:cs="Tahoma"/>
          <w:b/>
          <w:bCs/>
          <w:szCs w:val="24"/>
        </w:rPr>
      </w:pPr>
      <w:r w:rsidRPr="004A354C">
        <w:rPr>
          <w:rFonts w:ascii="Tahoma" w:hAnsi="Tahoma" w:cs="Tahoma"/>
          <w:b/>
          <w:bCs/>
          <w:szCs w:val="24"/>
        </w:rPr>
        <w:t>При расчете стоимости работ по проведению инспекции принята следующая формула:</w:t>
      </w:r>
    </w:p>
    <w:p w:rsidR="005F526A" w:rsidRPr="004A354C" w:rsidRDefault="005F526A" w:rsidP="004A354C">
      <w:pPr>
        <w:jc w:val="center"/>
        <w:rPr>
          <w:rFonts w:ascii="Tahoma" w:hAnsi="Tahoma" w:cs="Tahoma"/>
          <w:color w:val="2D2D2D"/>
          <w:sz w:val="20"/>
        </w:rPr>
      </w:pPr>
      <w:r w:rsidRPr="004A354C">
        <w:rPr>
          <w:rFonts w:ascii="Tahoma" w:hAnsi="Tahoma" w:cs="Tahoma"/>
          <w:color w:val="000000"/>
          <w:sz w:val="36"/>
          <w:szCs w:val="40"/>
        </w:rPr>
        <w:t xml:space="preserve">С = </w:t>
      </w:r>
      <w:proofErr w:type="spellStart"/>
      <w:r w:rsidRPr="004A354C">
        <w:rPr>
          <w:rFonts w:ascii="Tahoma" w:hAnsi="Tahoma" w:cs="Tahoma"/>
          <w:color w:val="000000"/>
          <w:sz w:val="36"/>
          <w:szCs w:val="40"/>
        </w:rPr>
        <w:t>t</w:t>
      </w:r>
      <w:r w:rsidRPr="004A354C">
        <w:rPr>
          <w:rFonts w:ascii="Tahoma" w:hAnsi="Tahoma" w:cs="Tahoma"/>
          <w:color w:val="000000"/>
          <w:sz w:val="36"/>
          <w:szCs w:val="40"/>
          <w:vertAlign w:val="subscript"/>
        </w:rPr>
        <w:t>oci</w:t>
      </w:r>
      <w:proofErr w:type="spellEnd"/>
      <w:r w:rsidRPr="004A354C">
        <w:rPr>
          <w:rFonts w:ascii="Tahoma" w:hAnsi="Tahoma" w:cs="Tahoma"/>
          <w:color w:val="000000"/>
          <w:sz w:val="36"/>
          <w:szCs w:val="40"/>
        </w:rPr>
        <w:t xml:space="preserve"> </w:t>
      </w:r>
      <w:r w:rsidRPr="004A354C">
        <w:rPr>
          <w:rFonts w:ascii="Tahoma" w:hAnsi="Tahoma" w:cs="Tahoma"/>
          <w:color w:val="000000"/>
          <w:sz w:val="28"/>
          <w:szCs w:val="32"/>
        </w:rPr>
        <w:t xml:space="preserve">* </w:t>
      </w:r>
      <w:r w:rsidRPr="004A354C">
        <w:rPr>
          <w:rFonts w:ascii="Tahoma" w:hAnsi="Tahoma" w:cs="Tahoma"/>
          <w:color w:val="000000"/>
          <w:sz w:val="36"/>
          <w:szCs w:val="40"/>
        </w:rPr>
        <w:t xml:space="preserve">T </w:t>
      </w:r>
      <w:r w:rsidRPr="004A354C">
        <w:rPr>
          <w:rFonts w:ascii="Tahoma" w:hAnsi="Tahoma" w:cs="Tahoma"/>
          <w:color w:val="000000"/>
          <w:sz w:val="28"/>
          <w:szCs w:val="32"/>
        </w:rPr>
        <w:t>*</w:t>
      </w:r>
      <w:r w:rsidRPr="004A354C">
        <w:rPr>
          <w:rFonts w:ascii="Tahoma" w:hAnsi="Tahoma" w:cs="Tahoma"/>
          <w:color w:val="000000"/>
          <w:sz w:val="36"/>
          <w:szCs w:val="40"/>
        </w:rPr>
        <w:t xml:space="preserve"> (1+ (</w:t>
      </w:r>
      <w:proofErr w:type="spellStart"/>
      <w:r w:rsidRPr="004A354C">
        <w:rPr>
          <w:rFonts w:ascii="Tahoma" w:hAnsi="Tahoma" w:cs="Tahoma"/>
          <w:color w:val="000000"/>
          <w:sz w:val="36"/>
          <w:szCs w:val="40"/>
        </w:rPr>
        <w:t>К</w:t>
      </w:r>
      <w:r w:rsidRPr="004A354C">
        <w:rPr>
          <w:rFonts w:ascii="Tahoma" w:hAnsi="Tahoma" w:cs="Tahoma"/>
          <w:color w:val="000000"/>
          <w:sz w:val="36"/>
          <w:szCs w:val="40"/>
          <w:vertAlign w:val="subscript"/>
        </w:rPr>
        <w:t>нр</w:t>
      </w:r>
      <w:r w:rsidRPr="004A354C">
        <w:rPr>
          <w:rFonts w:ascii="Tahoma" w:hAnsi="Tahoma" w:cs="Tahoma"/>
          <w:color w:val="000000"/>
          <w:sz w:val="36"/>
          <w:szCs w:val="40"/>
        </w:rPr>
        <w:t>+</w:t>
      </w:r>
      <w:proofErr w:type="gramStart"/>
      <w:r w:rsidRPr="004A354C">
        <w:rPr>
          <w:rFonts w:ascii="Tahoma" w:hAnsi="Tahoma" w:cs="Tahoma"/>
          <w:color w:val="000000"/>
          <w:sz w:val="36"/>
          <w:szCs w:val="40"/>
        </w:rPr>
        <w:t>К</w:t>
      </w:r>
      <w:r w:rsidRPr="004A354C">
        <w:rPr>
          <w:rFonts w:ascii="Tahoma" w:hAnsi="Tahoma" w:cs="Tahoma"/>
          <w:color w:val="000000"/>
          <w:sz w:val="36"/>
          <w:szCs w:val="40"/>
          <w:vertAlign w:val="subscript"/>
        </w:rPr>
        <w:t>нн</w:t>
      </w:r>
      <w:proofErr w:type="spellEnd"/>
      <w:r w:rsidRPr="004A354C">
        <w:rPr>
          <w:rFonts w:ascii="Tahoma" w:hAnsi="Tahoma" w:cs="Tahoma"/>
          <w:color w:val="000000"/>
          <w:sz w:val="36"/>
          <w:szCs w:val="40"/>
        </w:rPr>
        <w:t>)/</w:t>
      </w:r>
      <w:proofErr w:type="gramEnd"/>
      <w:r w:rsidRPr="004A354C">
        <w:rPr>
          <w:rFonts w:ascii="Tahoma" w:hAnsi="Tahoma" w:cs="Tahoma"/>
          <w:color w:val="000000"/>
          <w:sz w:val="36"/>
          <w:szCs w:val="40"/>
        </w:rPr>
        <w:t>100)</w:t>
      </w:r>
      <w:r w:rsidRPr="004A354C">
        <w:rPr>
          <w:rFonts w:ascii="Tahoma" w:hAnsi="Tahoma" w:cs="Tahoma"/>
          <w:color w:val="000000"/>
          <w:sz w:val="28"/>
          <w:szCs w:val="32"/>
        </w:rPr>
        <w:t>*</w:t>
      </w:r>
      <w:r w:rsidRPr="004A354C">
        <w:rPr>
          <w:rFonts w:ascii="Tahoma" w:hAnsi="Tahoma" w:cs="Tahoma"/>
          <w:color w:val="000000"/>
          <w:sz w:val="36"/>
          <w:szCs w:val="40"/>
        </w:rPr>
        <w:t>(1+Р/100)</w:t>
      </w:r>
      <w:r w:rsidRPr="004A354C">
        <w:rPr>
          <w:rFonts w:ascii="Tahoma" w:hAnsi="Tahoma" w:cs="Tahoma"/>
          <w:color w:val="2D2D2D"/>
          <w:sz w:val="36"/>
          <w:szCs w:val="40"/>
        </w:rPr>
        <w:t>,</w:t>
      </w:r>
      <w:r w:rsidRPr="004A354C">
        <w:rPr>
          <w:rFonts w:ascii="Tahoma" w:hAnsi="Tahoma" w:cs="Tahoma"/>
          <w:color w:val="2D2D2D"/>
          <w:sz w:val="20"/>
          <w:szCs w:val="21"/>
        </w:rPr>
        <w:t xml:space="preserve"> </w:t>
      </w:r>
      <w:r w:rsidRPr="004A354C">
        <w:rPr>
          <w:rFonts w:ascii="Tahoma" w:hAnsi="Tahoma" w:cs="Tahoma"/>
          <w:color w:val="2D2D2D"/>
          <w:sz w:val="20"/>
        </w:rPr>
        <w:t>где</w:t>
      </w:r>
    </w:p>
    <w:p w:rsidR="005F526A" w:rsidRPr="004A354C" w:rsidRDefault="005F526A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Cs w:val="28"/>
        </w:rPr>
      </w:pPr>
      <w:proofErr w:type="spellStart"/>
      <w:r w:rsidRPr="004A354C">
        <w:rPr>
          <w:rFonts w:ascii="Tahoma" w:hAnsi="Tahoma" w:cs="Tahoma"/>
          <w:b/>
          <w:bCs/>
          <w:szCs w:val="28"/>
        </w:rPr>
        <w:t>t</w:t>
      </w:r>
      <w:r w:rsidRPr="004A354C">
        <w:rPr>
          <w:rFonts w:ascii="Tahoma" w:hAnsi="Tahoma" w:cs="Tahoma"/>
          <w:b/>
          <w:bCs/>
          <w:szCs w:val="28"/>
          <w:vertAlign w:val="subscript"/>
        </w:rPr>
        <w:t>осi</w:t>
      </w:r>
      <w:proofErr w:type="spellEnd"/>
      <w:r w:rsidRPr="004A354C">
        <w:rPr>
          <w:rFonts w:ascii="Tahoma" w:hAnsi="Tahoma" w:cs="Tahoma"/>
          <w:b/>
          <w:bCs/>
          <w:szCs w:val="28"/>
        </w:rPr>
        <w:t xml:space="preserve"> </w:t>
      </w:r>
      <w:r w:rsidRPr="004A354C">
        <w:rPr>
          <w:rFonts w:ascii="Tahoma" w:hAnsi="Tahoma" w:cs="Tahoma"/>
          <w:b/>
          <w:bCs/>
          <w:sz w:val="18"/>
        </w:rPr>
        <w:t xml:space="preserve">— </w:t>
      </w:r>
      <w:r w:rsidRPr="004A354C">
        <w:rPr>
          <w:rFonts w:ascii="Tahoma" w:hAnsi="Tahoma" w:cs="Tahoma"/>
          <w:sz w:val="18"/>
        </w:rPr>
        <w:t>трудоемкость стоимости работ проведения инспекции в зависимости от выбранной схемы, чел./дней</w:t>
      </w:r>
    </w:p>
    <w:p w:rsidR="005F526A" w:rsidRPr="004A354C" w:rsidRDefault="005F526A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</w:rPr>
      </w:pPr>
      <w:r w:rsidRPr="004A354C">
        <w:rPr>
          <w:rFonts w:ascii="Tahoma" w:hAnsi="Tahoma" w:cs="Tahoma"/>
          <w:b/>
          <w:bCs/>
          <w:sz w:val="18"/>
        </w:rPr>
        <w:t xml:space="preserve">T – </w:t>
      </w:r>
      <w:r w:rsidRPr="004A354C">
        <w:rPr>
          <w:rFonts w:ascii="Tahoma" w:hAnsi="Tahoma" w:cs="Tahoma"/>
          <w:sz w:val="18"/>
        </w:rPr>
        <w:t>дневная ставка эксперта, 2136,36руб.</w:t>
      </w:r>
    </w:p>
    <w:p w:rsidR="005F526A" w:rsidRPr="004A354C" w:rsidRDefault="005F526A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</w:rPr>
      </w:pPr>
      <w:proofErr w:type="spellStart"/>
      <w:r w:rsidRPr="004A354C">
        <w:rPr>
          <w:rFonts w:ascii="Tahoma" w:hAnsi="Tahoma" w:cs="Tahoma"/>
          <w:b/>
          <w:bCs/>
          <w:sz w:val="20"/>
          <w:szCs w:val="24"/>
        </w:rPr>
        <w:t>К</w:t>
      </w:r>
      <w:r w:rsidRPr="004A354C">
        <w:rPr>
          <w:rFonts w:ascii="Tahoma" w:hAnsi="Tahoma" w:cs="Tahoma"/>
          <w:b/>
          <w:bCs/>
          <w:sz w:val="20"/>
          <w:szCs w:val="24"/>
          <w:vertAlign w:val="subscript"/>
        </w:rPr>
        <w:t>нр</w:t>
      </w:r>
      <w:proofErr w:type="spellEnd"/>
      <w:r w:rsidRPr="004A354C">
        <w:rPr>
          <w:rFonts w:ascii="Tahoma" w:hAnsi="Tahoma" w:cs="Tahoma"/>
          <w:b/>
          <w:bCs/>
          <w:sz w:val="18"/>
          <w:vertAlign w:val="subscript"/>
        </w:rPr>
        <w:t xml:space="preserve"> </w:t>
      </w:r>
      <w:r w:rsidRPr="004A354C">
        <w:rPr>
          <w:rFonts w:ascii="Tahoma" w:hAnsi="Tahoma" w:cs="Tahoma"/>
          <w:b/>
          <w:bCs/>
          <w:sz w:val="18"/>
        </w:rPr>
        <w:t xml:space="preserve">– </w:t>
      </w:r>
      <w:r w:rsidRPr="004A354C">
        <w:rPr>
          <w:rFonts w:ascii="Tahoma" w:hAnsi="Tahoma" w:cs="Tahoma"/>
          <w:sz w:val="18"/>
        </w:rPr>
        <w:t>норматив отчислений на заработную плату, установленный действующим законодательством, 30,2</w:t>
      </w:r>
      <w:r w:rsidRPr="004A354C">
        <w:rPr>
          <w:rFonts w:ascii="Tahoma" w:hAnsi="Tahoma" w:cs="Tahoma"/>
          <w:bCs/>
          <w:sz w:val="18"/>
        </w:rPr>
        <w:t>%</w:t>
      </w:r>
    </w:p>
    <w:p w:rsidR="005F526A" w:rsidRPr="004A354C" w:rsidRDefault="005F526A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18"/>
        </w:rPr>
      </w:pPr>
      <w:proofErr w:type="spellStart"/>
      <w:r w:rsidRPr="004A354C">
        <w:rPr>
          <w:rFonts w:ascii="Tahoma" w:hAnsi="Tahoma" w:cs="Tahoma"/>
          <w:b/>
          <w:bCs/>
          <w:sz w:val="20"/>
          <w:szCs w:val="24"/>
        </w:rPr>
        <w:t>К</w:t>
      </w:r>
      <w:r w:rsidRPr="004A354C">
        <w:rPr>
          <w:rFonts w:ascii="Tahoma" w:hAnsi="Tahoma" w:cs="Tahoma"/>
          <w:b/>
          <w:bCs/>
          <w:sz w:val="20"/>
          <w:szCs w:val="24"/>
          <w:vertAlign w:val="subscript"/>
        </w:rPr>
        <w:t>нн</w:t>
      </w:r>
      <w:proofErr w:type="spellEnd"/>
      <w:r w:rsidRPr="004A354C">
        <w:rPr>
          <w:rFonts w:ascii="Tahoma" w:hAnsi="Tahoma" w:cs="Tahoma"/>
          <w:b/>
          <w:bCs/>
          <w:sz w:val="18"/>
        </w:rPr>
        <w:t xml:space="preserve"> </w:t>
      </w:r>
      <w:r w:rsidRPr="004A354C">
        <w:rPr>
          <w:rFonts w:ascii="Tahoma" w:hAnsi="Tahoma" w:cs="Tahoma"/>
          <w:sz w:val="18"/>
        </w:rPr>
        <w:t>—коэффициент накладных расходов, 280</w:t>
      </w:r>
      <w:r w:rsidRPr="004A354C">
        <w:rPr>
          <w:rFonts w:ascii="Tahoma" w:hAnsi="Tahoma" w:cs="Tahoma"/>
          <w:bCs/>
          <w:sz w:val="18"/>
        </w:rPr>
        <w:t>%</w:t>
      </w:r>
    </w:p>
    <w:p w:rsidR="004A354C" w:rsidRPr="004A354C" w:rsidRDefault="005F526A" w:rsidP="005F526A">
      <w:pPr>
        <w:rPr>
          <w:rFonts w:ascii="Tahoma" w:hAnsi="Tahoma" w:cs="Tahoma"/>
          <w:sz w:val="18"/>
        </w:rPr>
      </w:pPr>
      <w:r w:rsidRPr="004A354C">
        <w:rPr>
          <w:rFonts w:ascii="Tahoma" w:hAnsi="Tahoma" w:cs="Tahoma"/>
          <w:b/>
          <w:bCs/>
          <w:sz w:val="18"/>
        </w:rPr>
        <w:t xml:space="preserve">Р </w:t>
      </w:r>
      <w:r w:rsidRPr="004A354C">
        <w:rPr>
          <w:rFonts w:ascii="Tahoma" w:hAnsi="Tahoma" w:cs="Tahoma"/>
          <w:sz w:val="18"/>
        </w:rPr>
        <w:t>– коэффициент рентабельности не должен превышать 10</w:t>
      </w:r>
      <w:r w:rsidRPr="004A354C">
        <w:rPr>
          <w:rFonts w:ascii="Tahoma" w:hAnsi="Tahoma" w:cs="Tahoma"/>
          <w:bCs/>
          <w:sz w:val="18"/>
        </w:rPr>
        <w:t>%</w:t>
      </w:r>
      <w:r w:rsidRPr="004A354C">
        <w:rPr>
          <w:rFonts w:ascii="Tahoma" w:hAnsi="Tahoma" w:cs="Tahoma"/>
          <w:sz w:val="18"/>
        </w:rPr>
        <w:t>.</w:t>
      </w:r>
    </w:p>
    <w:p w:rsidR="005F526A" w:rsidRPr="004A354C" w:rsidRDefault="005F526A" w:rsidP="004A35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0"/>
          <w:szCs w:val="24"/>
        </w:rPr>
      </w:pPr>
      <w:r w:rsidRPr="004A354C">
        <w:rPr>
          <w:rFonts w:ascii="Tahoma" w:hAnsi="Tahoma" w:cs="Tahoma"/>
          <w:b/>
          <w:bCs/>
          <w:sz w:val="20"/>
          <w:szCs w:val="24"/>
        </w:rPr>
        <w:t xml:space="preserve">Величина </w:t>
      </w:r>
      <w:proofErr w:type="spellStart"/>
      <w:r w:rsidRPr="004A354C">
        <w:rPr>
          <w:rFonts w:ascii="Tahoma" w:hAnsi="Tahoma" w:cs="Tahoma"/>
          <w:b/>
          <w:bCs/>
          <w:szCs w:val="28"/>
        </w:rPr>
        <w:t>t</w:t>
      </w:r>
      <w:r w:rsidRPr="004A354C">
        <w:rPr>
          <w:rFonts w:ascii="Tahoma" w:hAnsi="Tahoma" w:cs="Tahoma"/>
          <w:b/>
          <w:bCs/>
          <w:szCs w:val="28"/>
          <w:vertAlign w:val="subscript"/>
        </w:rPr>
        <w:t>осi</w:t>
      </w:r>
      <w:proofErr w:type="spellEnd"/>
      <w:r w:rsidRPr="004A354C">
        <w:rPr>
          <w:rFonts w:ascii="Tahoma" w:hAnsi="Tahoma" w:cs="Tahoma"/>
          <w:b/>
          <w:bCs/>
          <w:sz w:val="12"/>
          <w:szCs w:val="16"/>
        </w:rPr>
        <w:t xml:space="preserve"> </w:t>
      </w:r>
      <w:r w:rsidRPr="004A354C">
        <w:rPr>
          <w:rFonts w:ascii="Tahoma" w:hAnsi="Tahoma" w:cs="Tahoma"/>
          <w:b/>
          <w:bCs/>
          <w:sz w:val="20"/>
          <w:szCs w:val="24"/>
        </w:rPr>
        <w:t>зависит от следующих предельных нормативов трудоемкости при</w:t>
      </w:r>
      <w:r w:rsidRPr="004A354C">
        <w:rPr>
          <w:rFonts w:ascii="Tahoma" w:hAnsi="Tahoma" w:cs="Tahoma"/>
          <w:b/>
          <w:bCs/>
          <w:sz w:val="12"/>
          <w:szCs w:val="16"/>
        </w:rPr>
        <w:t xml:space="preserve"> </w:t>
      </w:r>
      <w:r w:rsidRPr="004A354C">
        <w:rPr>
          <w:rFonts w:ascii="Tahoma" w:hAnsi="Tahoma" w:cs="Tahoma"/>
          <w:b/>
          <w:bCs/>
          <w:sz w:val="20"/>
          <w:szCs w:val="24"/>
        </w:rPr>
        <w:t>проведении инспекции</w:t>
      </w:r>
    </w:p>
    <w:p w:rsidR="004A354C" w:rsidRPr="0032645F" w:rsidRDefault="004A354C" w:rsidP="005F52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6"/>
          <w:szCs w:val="24"/>
        </w:rPr>
      </w:pPr>
    </w:p>
    <w:p w:rsidR="004A354C" w:rsidRPr="004A354C" w:rsidRDefault="004A354C" w:rsidP="005F526A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704"/>
        <w:gridCol w:w="6804"/>
        <w:gridCol w:w="2126"/>
      </w:tblGrid>
      <w:tr w:rsidR="005F526A" w:rsidRPr="004A354C" w:rsidTr="007F21DF">
        <w:trPr>
          <w:trHeight w:val="114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:rsidR="005F526A" w:rsidRPr="004A354C" w:rsidRDefault="005F526A" w:rsidP="005F52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A354C">
              <w:rPr>
                <w:rFonts w:ascii="Tahoma" w:hAnsi="Tahoma" w:cs="Tahoma"/>
                <w:b/>
                <w:sz w:val="20"/>
              </w:rPr>
              <w:t>№</w:t>
            </w:r>
          </w:p>
          <w:p w:rsidR="005F526A" w:rsidRPr="004A354C" w:rsidRDefault="005F526A" w:rsidP="005F52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A354C">
              <w:rPr>
                <w:rFonts w:ascii="Tahoma" w:hAnsi="Tahoma" w:cs="Tahoma"/>
                <w:b/>
                <w:sz w:val="20"/>
              </w:rPr>
              <w:t>п/п</w:t>
            </w:r>
          </w:p>
        </w:tc>
        <w:tc>
          <w:tcPr>
            <w:tcW w:w="6804" w:type="dxa"/>
            <w:shd w:val="clear" w:color="auto" w:fill="DEEAF6" w:themeFill="accent1" w:themeFillTint="33"/>
            <w:vAlign w:val="center"/>
          </w:tcPr>
          <w:p w:rsidR="005F526A" w:rsidRPr="004A354C" w:rsidRDefault="005F526A" w:rsidP="005F52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A354C">
              <w:rPr>
                <w:rFonts w:ascii="Tahoma" w:hAnsi="Tahoma" w:cs="Tahoma"/>
                <w:b/>
                <w:sz w:val="20"/>
              </w:rPr>
              <w:t>Наименование этапов</w:t>
            </w:r>
          </w:p>
        </w:tc>
        <w:tc>
          <w:tcPr>
            <w:tcW w:w="2126" w:type="dxa"/>
            <w:shd w:val="clear" w:color="auto" w:fill="DEEAF6" w:themeFill="accent1" w:themeFillTint="33"/>
            <w:vAlign w:val="center"/>
          </w:tcPr>
          <w:p w:rsidR="005F526A" w:rsidRPr="004A354C" w:rsidRDefault="005F526A" w:rsidP="005F52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A354C">
              <w:rPr>
                <w:rFonts w:ascii="Tahoma" w:hAnsi="Tahoma" w:cs="Tahoma"/>
                <w:b/>
                <w:sz w:val="20"/>
              </w:rPr>
              <w:t>Придельные нормативы</w:t>
            </w:r>
          </w:p>
          <w:p w:rsidR="005F526A" w:rsidRPr="004A354C" w:rsidRDefault="005F526A" w:rsidP="005F526A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sz w:val="20"/>
              </w:rPr>
            </w:pPr>
            <w:r w:rsidRPr="004A354C">
              <w:rPr>
                <w:rFonts w:ascii="Tahoma" w:hAnsi="Tahoma" w:cs="Tahoma"/>
                <w:b/>
                <w:sz w:val="20"/>
              </w:rPr>
              <w:t>трудоемкости*, чел./дней</w:t>
            </w:r>
          </w:p>
        </w:tc>
      </w:tr>
      <w:tr w:rsidR="005F526A" w:rsidRPr="004A354C" w:rsidTr="007F21DF">
        <w:trPr>
          <w:trHeight w:val="722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1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Подача заявления, принятие решения на проведение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</w:p>
        </w:tc>
      </w:tr>
      <w:tr w:rsidR="005F526A" w:rsidRPr="004A354C" w:rsidTr="007F21DF">
        <w:trPr>
          <w:trHeight w:val="451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1.1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Прием, входной контроль и регистрация заявления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0,2</w:t>
            </w:r>
          </w:p>
        </w:tc>
      </w:tr>
      <w:tr w:rsidR="005F526A" w:rsidRPr="004A354C" w:rsidTr="007F21DF">
        <w:trPr>
          <w:trHeight w:val="625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1.2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Рассмотрение комплекта документов, представленных Заявителем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0,3</w:t>
            </w:r>
          </w:p>
        </w:tc>
      </w:tr>
      <w:tr w:rsidR="005F526A" w:rsidRPr="004A354C" w:rsidTr="007F21DF">
        <w:trPr>
          <w:trHeight w:val="495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1.3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Выбор схемы и метода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0,2</w:t>
            </w:r>
          </w:p>
        </w:tc>
      </w:tr>
      <w:tr w:rsidR="005F526A" w:rsidRPr="004A354C" w:rsidTr="0032645F">
        <w:trPr>
          <w:trHeight w:val="518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1.4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Подготовка решения по заявлению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0,5</w:t>
            </w:r>
          </w:p>
        </w:tc>
      </w:tr>
      <w:tr w:rsidR="005F526A" w:rsidRPr="004A354C" w:rsidTr="007F21DF">
        <w:trPr>
          <w:trHeight w:val="395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Выполнение процедур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</w:p>
        </w:tc>
      </w:tr>
      <w:tr w:rsidR="005F526A" w:rsidRPr="004A354C" w:rsidTr="0032645F">
        <w:trPr>
          <w:trHeight w:val="516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2.1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Проведение обследования/идентификация объекта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0,25-0,6</w:t>
            </w:r>
          </w:p>
        </w:tc>
      </w:tr>
      <w:tr w:rsidR="005F526A" w:rsidRPr="004A354C" w:rsidTr="0032645F">
        <w:trPr>
          <w:trHeight w:val="527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2.2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Анализ документов и сведений, представленных Заявителем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0,5-0,8</w:t>
            </w:r>
          </w:p>
        </w:tc>
      </w:tr>
      <w:tr w:rsidR="005F526A" w:rsidRPr="004A354C" w:rsidTr="0032645F">
        <w:trPr>
          <w:trHeight w:val="536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2.3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Проведение отбора образцов (проб) объекта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0,25-0,8</w:t>
            </w:r>
          </w:p>
        </w:tc>
      </w:tr>
      <w:tr w:rsidR="005F526A" w:rsidRPr="004A354C" w:rsidTr="007F21DF">
        <w:trPr>
          <w:trHeight w:val="673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2.4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 xml:space="preserve">**Проведение исследований </w:t>
            </w:r>
            <w:r w:rsidR="004A354C">
              <w:rPr>
                <w:rFonts w:ascii="Tahoma" w:hAnsi="Tahoma" w:cs="Tahoma"/>
              </w:rPr>
              <w:t>(испытаний)</w:t>
            </w:r>
            <w:r w:rsidR="004A354C">
              <w:rPr>
                <w:rFonts w:ascii="Tahoma" w:hAnsi="Tahoma" w:cs="Tahoma"/>
              </w:rPr>
              <w:br/>
            </w:r>
            <w:r w:rsidRPr="004A354C">
              <w:rPr>
                <w:rFonts w:ascii="Tahoma" w:hAnsi="Tahoma" w:cs="Tahoma"/>
              </w:rPr>
              <w:t>и измерений объекта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</w:p>
        </w:tc>
      </w:tr>
      <w:tr w:rsidR="005F526A" w:rsidRPr="004A354C" w:rsidTr="0032645F">
        <w:trPr>
          <w:trHeight w:val="492"/>
        </w:trPr>
        <w:tc>
          <w:tcPr>
            <w:tcW w:w="704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2.5</w:t>
            </w:r>
          </w:p>
        </w:tc>
        <w:tc>
          <w:tcPr>
            <w:tcW w:w="6804" w:type="dxa"/>
            <w:vAlign w:val="center"/>
          </w:tcPr>
          <w:p w:rsidR="005F526A" w:rsidRPr="004A354C" w:rsidRDefault="005F526A" w:rsidP="004A354C">
            <w:pPr>
              <w:autoSpaceDE w:val="0"/>
              <w:autoSpaceDN w:val="0"/>
              <w:adjustRightInd w:val="0"/>
              <w:ind w:left="176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Подготовка выводов по результатам проведения инспекции</w:t>
            </w:r>
          </w:p>
        </w:tc>
        <w:tc>
          <w:tcPr>
            <w:tcW w:w="2126" w:type="dxa"/>
            <w:vAlign w:val="center"/>
          </w:tcPr>
          <w:p w:rsidR="005F526A" w:rsidRPr="004A354C" w:rsidRDefault="005F526A" w:rsidP="005F526A">
            <w:pPr>
              <w:jc w:val="center"/>
              <w:rPr>
                <w:rFonts w:ascii="Tahoma" w:hAnsi="Tahoma" w:cs="Tahoma"/>
              </w:rPr>
            </w:pPr>
            <w:r w:rsidRPr="004A354C">
              <w:rPr>
                <w:rFonts w:ascii="Tahoma" w:hAnsi="Tahoma" w:cs="Tahoma"/>
              </w:rPr>
              <w:t>0,5-1,0</w:t>
            </w:r>
          </w:p>
        </w:tc>
      </w:tr>
    </w:tbl>
    <w:p w:rsidR="004A354C" w:rsidRDefault="004A354C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</w:rPr>
      </w:pPr>
    </w:p>
    <w:p w:rsidR="004A354C" w:rsidRPr="004A354C" w:rsidRDefault="004A354C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0"/>
        </w:rPr>
      </w:pPr>
    </w:p>
    <w:p w:rsidR="005F526A" w:rsidRPr="004A354C" w:rsidRDefault="005F526A" w:rsidP="005F526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4A354C">
        <w:rPr>
          <w:rFonts w:ascii="Tahoma" w:hAnsi="Tahoma" w:cs="Tahoma"/>
          <w:b/>
          <w:sz w:val="20"/>
        </w:rPr>
        <w:t>*</w:t>
      </w:r>
      <w:r w:rsidRPr="004A354C">
        <w:rPr>
          <w:rFonts w:ascii="Tahoma" w:hAnsi="Tahoma" w:cs="Tahoma"/>
          <w:sz w:val="20"/>
        </w:rPr>
        <w:t>Предельные нормативы трудоемкости различаются в зависимости от схемы проведения инспекции.</w:t>
      </w:r>
    </w:p>
    <w:p w:rsidR="005F526A" w:rsidRPr="004A354C" w:rsidRDefault="005F526A" w:rsidP="004A354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</w:rPr>
      </w:pPr>
      <w:r w:rsidRPr="004A354C">
        <w:rPr>
          <w:rFonts w:ascii="Tahoma" w:hAnsi="Tahoma" w:cs="Tahoma"/>
          <w:b/>
          <w:sz w:val="20"/>
        </w:rPr>
        <w:t>**</w:t>
      </w:r>
      <w:r w:rsidRPr="004A354C">
        <w:rPr>
          <w:rFonts w:ascii="Tahoma" w:hAnsi="Tahoma" w:cs="Tahoma"/>
          <w:sz w:val="20"/>
        </w:rPr>
        <w:t>Предельные нормативы трудоемкости различаются в зависимости от стоимости проведения исследований</w:t>
      </w:r>
      <w:r w:rsidR="004A354C" w:rsidRPr="004A354C">
        <w:rPr>
          <w:rFonts w:ascii="Tahoma" w:hAnsi="Tahoma" w:cs="Tahoma"/>
          <w:sz w:val="20"/>
        </w:rPr>
        <w:t xml:space="preserve"> </w:t>
      </w:r>
      <w:r w:rsidRPr="004A354C">
        <w:rPr>
          <w:rFonts w:ascii="Tahoma" w:hAnsi="Tahoma" w:cs="Tahoma"/>
          <w:sz w:val="20"/>
        </w:rPr>
        <w:t>(испытаний) привлекаемой лаборатории.</w:t>
      </w:r>
    </w:p>
    <w:sectPr w:rsidR="005F526A" w:rsidRPr="004A354C" w:rsidSect="007F21DF">
      <w:pgSz w:w="11906" w:h="16838"/>
      <w:pgMar w:top="426" w:right="141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B9"/>
    <w:rsid w:val="000A4BB9"/>
    <w:rsid w:val="0032645F"/>
    <w:rsid w:val="004A354C"/>
    <w:rsid w:val="005F526A"/>
    <w:rsid w:val="00687BB2"/>
    <w:rsid w:val="007F21DF"/>
    <w:rsid w:val="008F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93506-0843-4344-95B0-1DB88081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Ирина Александровна</dc:creator>
  <cp:keywords/>
  <dc:description/>
  <cp:lastModifiedBy>hr serc</cp:lastModifiedBy>
  <cp:revision>3</cp:revision>
  <dcterms:created xsi:type="dcterms:W3CDTF">2021-05-20T07:44:00Z</dcterms:created>
  <dcterms:modified xsi:type="dcterms:W3CDTF">2021-05-20T07:49:00Z</dcterms:modified>
</cp:coreProperties>
</file>